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Arbeidsplan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5625"/>
        <w:gridCol w:w="1710"/>
        <w:tblGridChange w:id="0">
          <w:tblGrid>
            <w:gridCol w:w="1665"/>
            <w:gridCol w:w="5625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forslag: Tilleggsforslag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Endre: “Høyreekstremismen øker i Europa. Høyreekstreme vervet seg til å kjempe på begge sider i Ukraina-krigen, og motstanden mot flyktninger øker. </w:t>
              <w:br w:type="textWrapping"/>
              <w:t xml:space="preserve">Samtidig blir ytringsfrihet og demokrati innskrenket i flere europeiske land, i takt med at høyreekstremismen øker. Ungarn regnes ikke lenger som et demokrati, og pressefriheten i Polen innskrenkes stadig mer.”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Linje 27-32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Innsendt av: Frankie Rød, delegat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 tekst: “Mange unge blir radikalisert på nett, og den politiske debatten blir stadig mer polarisert. Mange unge er redde for å ytre seg offentlig i frykt for hets og trakassering.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Samtidig øker høyreekstremismen i Europa, i takt med at ytringsfrihet og demokrati blir innskrenket i flere europeiske land. "Høyreekstreme vervet seg til å kjempe på begge sider i Ukraina-krigen, og motstanden mot flyktninger øker.”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Forslag til vedtak: 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5610"/>
        <w:gridCol w:w="1755"/>
        <w:tblGridChange w:id="0">
          <w:tblGrid>
            <w:gridCol w:w="1635"/>
            <w:gridCol w:w="561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forslag: Tilleggsforslag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Endre: “I etterkant av pandemien har det også vært vanskelig å </w:t>
            </w:r>
            <w:r w:rsidDel="00000000" w:rsidR="00000000" w:rsidRPr="00000000">
              <w:rPr>
                <w:rtl w:val="0"/>
              </w:rPr>
              <w:t xml:space="preserve">finne engasjert</w:t>
            </w:r>
            <w:r w:rsidDel="00000000" w:rsidR="00000000" w:rsidRPr="00000000">
              <w:rPr>
                <w:rtl w:val="0"/>
              </w:rPr>
              <w:t xml:space="preserve"> ungdom som ønsker å fokusere på Ungdom mot EU, da de heller vil bruke tiden sin på ungdomspartiene, eller andre ting enn politikk.”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Linje 54-58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Innsendt av: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Frankie Rød, delegat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 tekst: “I etterkant av pandemien har det også vært vanskelig å </w:t>
            </w:r>
            <w:r w:rsidDel="00000000" w:rsidR="00000000" w:rsidRPr="00000000">
              <w:rPr>
                <w:rtl w:val="0"/>
              </w:rPr>
              <w:t xml:space="preserve">finne engasjert</w:t>
            </w:r>
            <w:r w:rsidDel="00000000" w:rsidR="00000000" w:rsidRPr="00000000">
              <w:rPr>
                <w:rtl w:val="0"/>
              </w:rPr>
              <w:t xml:space="preserve"> ungdom som ønsker å fokusere på </w:t>
            </w:r>
            <w:r w:rsidDel="00000000" w:rsidR="00000000" w:rsidRPr="00000000">
              <w:rPr>
                <w:rtl w:val="0"/>
              </w:rPr>
              <w:t xml:space="preserve">Ungdom</w:t>
            </w:r>
            <w:r w:rsidDel="00000000" w:rsidR="00000000" w:rsidRPr="00000000">
              <w:rPr>
                <w:rtl w:val="0"/>
              </w:rPr>
              <w:t xml:space="preserve"> mot </w:t>
            </w:r>
            <w:r w:rsidDel="00000000" w:rsidR="00000000" w:rsidRPr="00000000">
              <w:rPr>
                <w:rtl w:val="0"/>
              </w:rPr>
              <w:t xml:space="preserve">EU. Organisasjonen</w:t>
            </w:r>
            <w:r w:rsidDel="00000000" w:rsidR="00000000" w:rsidRPr="00000000">
              <w:rPr>
                <w:rtl w:val="0"/>
              </w:rPr>
              <w:t xml:space="preserve"> må jobbe mer aktivt med verving og oppbygging av lokallagene, og jobbe for å få lokallag i så mange fylker som mulig.”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5610"/>
        <w:gridCol w:w="1740"/>
        <w:tblGridChange w:id="0">
          <w:tblGrid>
            <w:gridCol w:w="1650"/>
            <w:gridCol w:w="5610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Type forslag: Tilleggsforslag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50505"/>
                <w:sz w:val="23"/>
                <w:szCs w:val="23"/>
                <w:shd w:fill="e4e6e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Linje 168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Innsendt av: Gribb Heinrich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Legge til nytt kulepunkt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line="240" w:lineRule="auto"/>
              <w:rPr>
                <w:rFonts w:ascii="Roboto" w:cs="Roboto" w:eastAsia="Roboto" w:hAnsi="Roboto"/>
                <w:color w:val="242424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rtl w:val="0"/>
              </w:rPr>
              <w:t xml:space="preserve">Sentralstyret skal starte med arbeid for å endre grafisk profil mot noe som fortsatt representerer organisasjonen, samtidig som det appellerer litt mer til ungdom.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Forslag til vedtak: 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Uttalelser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4005"/>
        <w:gridCol w:w="3000"/>
        <w:tblGridChange w:id="0">
          <w:tblGrid>
            <w:gridCol w:w="1995"/>
            <w:gridCol w:w="400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forslag: Tilleggsforslag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Linje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Innsendt av: Frankie Rød, delegat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til: Avtalen følger EU-Mercosur-forhandlingene, så utfallet der vil ha mye å si for avtalen EFTA-landene får.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Forslag til vedtak: 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